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w:t>
      </w:r>
      <w:r w:rsidRPr="00685C9B">
        <w:rPr>
          <w:rFonts w:ascii="Arial" w:hAnsi="Arial" w:cs="Arial"/>
          <w:sz w:val="22"/>
          <w:szCs w:val="22"/>
        </w:rPr>
        <w:lastRenderedPageBreak/>
        <w:t>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37ADFCC9" w:rsid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28C78875" w14:textId="2456B3CB" w:rsidR="00FE6EDF" w:rsidRDefault="00FE6EDF" w:rsidP="00685C9B">
      <w:pPr>
        <w:spacing w:before="120" w:after="120" w:line="360" w:lineRule="auto"/>
        <w:rPr>
          <w:rFonts w:ascii="Arial" w:hAnsi="Arial" w:cs="Arial"/>
          <w:b/>
          <w:bCs/>
          <w:sz w:val="22"/>
          <w:szCs w:val="22"/>
        </w:rPr>
      </w:pPr>
      <w:r>
        <w:rPr>
          <w:rFonts w:ascii="Arial" w:hAnsi="Arial" w:cs="Arial"/>
          <w:b/>
          <w:bCs/>
          <w:sz w:val="22"/>
          <w:szCs w:val="22"/>
        </w:rPr>
        <w:t>● Children’s learning journeys are recorded on Tapestry and only members of staff can access this alongside their parents who set up their own passwords to access their child’s learning journey.</w:t>
      </w:r>
    </w:p>
    <w:p w14:paraId="2D3C3788" w14:textId="6844D83F" w:rsidR="00FE6EDF" w:rsidRPr="00666748" w:rsidRDefault="00FE6EDF" w:rsidP="00685C9B">
      <w:pPr>
        <w:spacing w:before="120" w:after="120" w:line="360" w:lineRule="auto"/>
        <w:rPr>
          <w:rFonts w:ascii="Arial" w:hAnsi="Arial" w:cs="Arial"/>
          <w:b/>
          <w:bCs/>
          <w:sz w:val="22"/>
          <w:szCs w:val="22"/>
        </w:rPr>
      </w:pPr>
      <w:r>
        <w:rPr>
          <w:rFonts w:ascii="Arial" w:hAnsi="Arial" w:cs="Arial"/>
          <w:b/>
          <w:bCs/>
          <w:sz w:val="22"/>
          <w:szCs w:val="22"/>
        </w:rPr>
        <w:lastRenderedPageBreak/>
        <w:t xml:space="preserve">● SEN children have a separate file each which only the </w:t>
      </w:r>
      <w:proofErr w:type="spellStart"/>
      <w:r>
        <w:rPr>
          <w:rFonts w:ascii="Arial" w:hAnsi="Arial" w:cs="Arial"/>
          <w:b/>
          <w:bCs/>
          <w:sz w:val="22"/>
          <w:szCs w:val="22"/>
        </w:rPr>
        <w:t>SENco</w:t>
      </w:r>
      <w:proofErr w:type="spellEnd"/>
      <w:r>
        <w:rPr>
          <w:rFonts w:ascii="Arial" w:hAnsi="Arial" w:cs="Arial"/>
          <w:b/>
          <w:bCs/>
          <w:sz w:val="22"/>
          <w:szCs w:val="22"/>
        </w:rPr>
        <w:t>, key person and the manager can access. They are kept in a locked cabinet.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1450" w14:textId="77777777" w:rsidR="00497697" w:rsidRDefault="00497697" w:rsidP="00D25F7E">
      <w:r>
        <w:separator/>
      </w:r>
    </w:p>
  </w:endnote>
  <w:endnote w:type="continuationSeparator" w:id="0">
    <w:p w14:paraId="0EE34D6B" w14:textId="77777777" w:rsidR="00497697" w:rsidRDefault="00497697" w:rsidP="00D25F7E">
      <w:r>
        <w:continuationSeparator/>
      </w:r>
    </w:p>
  </w:endnote>
  <w:endnote w:type="continuationNotice" w:id="1">
    <w:p w14:paraId="2D1619BF" w14:textId="77777777" w:rsidR="00497697" w:rsidRDefault="00497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7BB4" w14:textId="77777777" w:rsidR="00497697" w:rsidRDefault="00497697" w:rsidP="00D25F7E">
      <w:r>
        <w:separator/>
      </w:r>
    </w:p>
  </w:footnote>
  <w:footnote w:type="continuationSeparator" w:id="0">
    <w:p w14:paraId="6B86C308" w14:textId="77777777" w:rsidR="00497697" w:rsidRDefault="00497697" w:rsidP="00D25F7E">
      <w:r>
        <w:continuationSeparator/>
      </w:r>
    </w:p>
  </w:footnote>
  <w:footnote w:type="continuationNotice" w:id="1">
    <w:p w14:paraId="6ED1911C" w14:textId="77777777" w:rsidR="00497697" w:rsidRDefault="004976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E6EDF"/>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4.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Indian Queens Under 5s</cp:lastModifiedBy>
  <cp:revision>2</cp:revision>
  <cp:lastPrinted>2018-05-21T08:03:00Z</cp:lastPrinted>
  <dcterms:created xsi:type="dcterms:W3CDTF">2021-09-21T13:37:00Z</dcterms:created>
  <dcterms:modified xsi:type="dcterms:W3CDTF">2021-09-21T13:37:00Z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